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sz w:val="32"/>
        </w:rPr>
        <w:t xml:space="preserve">Staff guidance: replying to reviews as a health brand</w:t>
      </w:r>
    </w:p>
    <w:p>
      <w:pPr>
        <w:spacing w:after="240"/>
      </w:pPr>
      <w:r>
        <w:rPr>
          <w:rFonts w:ascii="Calibri" w:hAnsi="Calibri"/>
          <w:sz w:val="22"/>
        </w:rPr>
        <w:t xml:space="preserve">What staff may and may not say in a public reply, and when to hand a review up the line.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Why this matters</w:t>
      </w:r>
    </w:p>
    <w:p>
      <w:pPr>
        <w:spacing w:after="80"/>
      </w:pPr>
      <w:r>
        <w:rPr>
          <w:rFonts w:ascii="Calibri" w:hAnsi="Calibri"/>
          <w:sz w:val="22"/>
        </w:rPr>
        <w:t xml:space="preserve">A public reply that confirms someone is a patient, or mentions their treatment, can disclose protected health information. It does not matter that the patient shared it first.</w:t>
      </w:r>
    </w:p>
    <w:p>
      <w:pPr>
        <w:spacing w:after="80"/>
      </w:pPr>
      <w:r>
        <w:rPr>
          <w:rFonts w:ascii="Calibri" w:hAnsi="Calibri"/>
          <w:sz w:val="22"/>
        </w:rPr>
        <w:t xml:space="preserve">In 2023 the HHS Office for Civil Rights settled with a provider for $30,000 after it disclosed patient information in replies to negative online reviews. Source: U.S. Department of Health and Human Services, "OCR agreement with a provider that disclosed patient information in response to negative online reviews", https://www.hhs.gov/hipaa/for-professionals/compliance-enforcement/agreements/manasa/index.html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Never, in a public reply</w:t>
      </w:r>
    </w:p>
    <w:p>
      <w:pPr>
        <w:spacing w:after="80"/>
      </w:pPr>
      <w:r>
        <w:rPr>
          <w:rFonts w:ascii="Calibri" w:hAnsi="Calibri"/>
          <w:sz w:val="22"/>
        </w:rPr>
        <w:t xml:space="preserve">– Confirm or deny that the writer is a patient, a customer or has an account.</w:t>
      </w:r>
    </w:p>
    <w:p>
      <w:pPr>
        <w:spacing w:after="80"/>
      </w:pPr>
      <w:r>
        <w:rPr>
          <w:rFonts w:ascii="Calibri" w:hAnsi="Calibri"/>
          <w:sz w:val="22"/>
        </w:rPr>
        <w:t xml:space="preserve">– Mention a treatment, a prescription, a condition, an appointment or an order.</w:t>
      </w:r>
    </w:p>
    <w:p>
      <w:pPr>
        <w:spacing w:after="80"/>
      </w:pPr>
      <w:r>
        <w:rPr>
          <w:rFonts w:ascii="Calibri" w:hAnsi="Calibri"/>
          <w:sz w:val="22"/>
        </w:rPr>
        <w:t xml:space="preserve">– Name a staff member, or repeat anything the review says about one.</w:t>
      </w:r>
    </w:p>
    <w:p>
      <w:pPr>
        <w:spacing w:after="80"/>
      </w:pPr>
      <w:r>
        <w:rPr>
          <w:rFonts w:ascii="Calibri" w:hAnsi="Calibri"/>
          <w:sz w:val="22"/>
        </w:rPr>
        <w:t xml:space="preserve">– Argue about what happened, or correct the writer's account of it.</w:t>
      </w:r>
    </w:p>
    <w:p>
      <w:pPr>
        <w:spacing w:after="80"/>
      </w:pPr>
      <w:r>
        <w:rPr>
          <w:rFonts w:ascii="Calibri" w:hAnsi="Calibri"/>
          <w:sz w:val="22"/>
        </w:rPr>
        <w:t xml:space="preserve">– Offer anything in exchange for changing or removing the review.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Always</w:t>
      </w:r>
    </w:p>
    <w:p>
      <w:pPr>
        <w:spacing w:after="80"/>
      </w:pPr>
      <w:r>
        <w:rPr>
          <w:rFonts w:ascii="Calibri" w:hAnsi="Calibri"/>
          <w:sz w:val="22"/>
        </w:rPr>
        <w:t xml:space="preserve">– Thank them for the feedback, in general terms.</w:t>
      </w:r>
    </w:p>
    <w:p>
      <w:pPr>
        <w:spacing w:after="80"/>
      </w:pPr>
      <w:r>
        <w:rPr>
          <w:rFonts w:ascii="Calibri" w:hAnsi="Calibri"/>
          <w:sz w:val="22"/>
        </w:rPr>
        <w:t xml:space="preserve">– Talk about your process, not about them: "If you have an account with us, our team can look into it."</w:t>
      </w:r>
    </w:p>
    <w:p>
      <w:pPr>
        <w:spacing w:after="80"/>
      </w:pPr>
      <w:r>
        <w:rPr>
          <w:rFonts w:ascii="Calibri" w:hAnsi="Calibri"/>
          <w:sz w:val="22"/>
        </w:rPr>
        <w:t xml:space="preserve">– Offer a private route: the contact page or the support email, never a personal number.</w:t>
      </w:r>
    </w:p>
    <w:p>
      <w:pPr>
        <w:spacing w:after="80"/>
      </w:pPr>
      <w:r>
        <w:rPr>
          <w:rFonts w:ascii="Calibri" w:hAnsi="Calibri"/>
          <w:sz w:val="22"/>
        </w:rPr>
        <w:t xml:space="preserve">– Use an approved template, and have a second person read any reply you change.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Hand it up the line when</w:t>
      </w:r>
    </w:p>
    <w:p>
      <w:pPr>
        <w:spacing w:after="80"/>
      </w:pPr>
      <w:r>
        <w:rPr>
          <w:rFonts w:ascii="Calibri" w:hAnsi="Calibri"/>
          <w:sz w:val="22"/>
        </w:rPr>
        <w:t xml:space="preserve">– The review contains a threat: tell your manager at once. Safety comes before any reply.</w:t>
      </w:r>
    </w:p>
    <w:p>
      <w:pPr>
        <w:spacing w:after="80"/>
      </w:pPr>
      <w:r>
        <w:rPr>
          <w:rFonts w:ascii="Calibri" w:hAnsi="Calibri"/>
          <w:sz w:val="22"/>
        </w:rPr>
        <w:t xml:space="preserve">– It names or describes a staff member: tell your manager the same day, and tell the person named.</w:t>
      </w:r>
    </w:p>
    <w:p>
      <w:pPr>
        <w:spacing w:after="80"/>
      </w:pPr>
      <w:r>
        <w:rPr>
          <w:rFonts w:ascii="Calibri" w:hAnsi="Calibri"/>
          <w:sz w:val="22"/>
        </w:rPr>
        <w:t xml:space="preserve">– It accuses the business of a crime or says it will take legal action: do not reply. Pass it to the owner, who decides whether counsel sees it.</w:t>
      </w:r>
    </w:p>
    <w:p>
      <w:pPr>
        <w:spacing w:after="80"/>
      </w:pPr>
      <w:r>
        <w:rPr>
          <w:rFonts w:ascii="Calibri" w:hAnsi="Calibri"/>
          <w:sz w:val="22"/>
        </w:rPr>
        <w:t xml:space="preserve">– A journalist, regulator or lawyer gets in touch about a review: do not reply. Pass it to the owner.</w:t>
      </w:r>
    </w:p>
    <w:p>
      <w:pPr>
        <w:spacing w:after="80"/>
      </w:pPr>
      <w:r>
        <w:rPr>
          <w:rFonts w:ascii="Calibri" w:hAnsi="Calibri"/>
          <w:sz w:val="22"/>
        </w:rPr>
        <w:t xml:space="preserve">– You think it breaks a platform rule: note which one and pass it to whoever files reports. Do not report from a personal account.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sz w:val="18"/>
        </w:rPr>
        <w:t xml:space="preserve">From Remove One Star, https://www.removeonestar.com/resources/templates. Free to use and adapt.</w:t>
      </w:r>
    </w:p>
    <w:sectPr>
      <w:pgSz w:w="12240" w:h="15840"/>
      <w:pgMar w:top="1200" w:right="1200" w:bottom="1200" w:left="1200" w:header="708" w:footer="708" w:gutter="0"/>
    </w:sectPr>
  </w:body>
</w:document>
</file>